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7" w:type="dxa"/>
        <w:tblInd w:w="-187" w:type="dxa"/>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thinThickSmallGap" w:sz="24" w:space="0" w:color="auto"/>
        </w:tblBorders>
        <w:tblLook w:val="01E0" w:firstRow="1" w:lastRow="1" w:firstColumn="1" w:lastColumn="1" w:noHBand="0" w:noVBand="0"/>
      </w:tblPr>
      <w:tblGrid>
        <w:gridCol w:w="3895"/>
        <w:gridCol w:w="6312"/>
      </w:tblGrid>
      <w:tr w:rsidR="00487368" w14:paraId="3FAE7BAF" w14:textId="77777777" w:rsidTr="00257399">
        <w:trPr>
          <w:trHeight w:val="817"/>
        </w:trPr>
        <w:tc>
          <w:tcPr>
            <w:tcW w:w="10207" w:type="dxa"/>
            <w:gridSpan w:val="2"/>
            <w:shd w:val="clear" w:color="auto" w:fill="auto"/>
          </w:tcPr>
          <w:p w14:paraId="2DDEA47E" w14:textId="77777777" w:rsidR="00487368" w:rsidRPr="00C176A4" w:rsidRDefault="00487368" w:rsidP="00C176A4">
            <w:pPr>
              <w:tabs>
                <w:tab w:val="left" w:pos="3832"/>
              </w:tabs>
              <w:jc w:val="center"/>
              <w:rPr>
                <w:b/>
              </w:rPr>
            </w:pPr>
            <w:r w:rsidRPr="00C176A4">
              <w:rPr>
                <w:b/>
              </w:rPr>
              <w:t>OBRAZAC</w:t>
            </w:r>
          </w:p>
          <w:p w14:paraId="515940DA" w14:textId="77777777" w:rsidR="00487368" w:rsidRPr="00C176A4" w:rsidRDefault="00485374" w:rsidP="00C176A4">
            <w:pPr>
              <w:jc w:val="center"/>
              <w:rPr>
                <w:b/>
              </w:rPr>
            </w:pPr>
            <w:r w:rsidRPr="00C176A4">
              <w:rPr>
                <w:b/>
              </w:rPr>
              <w:t>i</w:t>
            </w:r>
            <w:r w:rsidR="00487368" w:rsidRPr="00C176A4">
              <w:rPr>
                <w:b/>
              </w:rPr>
              <w:t>zvješća</w:t>
            </w:r>
            <w:r w:rsidR="009A5822" w:rsidRPr="00C176A4">
              <w:rPr>
                <w:b/>
              </w:rPr>
              <w:t xml:space="preserve"> o provedenom savjetovanju s </w:t>
            </w:r>
            <w:r w:rsidR="00487368" w:rsidRPr="00C176A4">
              <w:rPr>
                <w:b/>
              </w:rPr>
              <w:t>javnošću</w:t>
            </w:r>
          </w:p>
          <w:p w14:paraId="6819C52F" w14:textId="77777777" w:rsidR="00487368" w:rsidRDefault="00487368" w:rsidP="00487368"/>
        </w:tc>
      </w:tr>
      <w:tr w:rsidR="00487368" w14:paraId="068678CA" w14:textId="77777777" w:rsidTr="00257399">
        <w:trPr>
          <w:trHeight w:val="500"/>
        </w:trPr>
        <w:tc>
          <w:tcPr>
            <w:tcW w:w="3895" w:type="dxa"/>
            <w:tcBorders>
              <w:right w:val="single" w:sz="4" w:space="0" w:color="auto"/>
            </w:tcBorders>
            <w:shd w:val="clear" w:color="auto" w:fill="auto"/>
            <w:vAlign w:val="center"/>
          </w:tcPr>
          <w:p w14:paraId="23CBB9B9" w14:textId="77777777" w:rsidR="00487368" w:rsidRPr="00C176A4" w:rsidRDefault="00487368" w:rsidP="00487368">
            <w:pPr>
              <w:rPr>
                <w:b/>
              </w:rPr>
            </w:pPr>
            <w:r w:rsidRPr="00C176A4">
              <w:rPr>
                <w:b/>
              </w:rPr>
              <w:t xml:space="preserve">Naziv nacrta odluke ili drugog općeg akta o kojem je savjetovanje provedeno </w:t>
            </w:r>
          </w:p>
        </w:tc>
        <w:tc>
          <w:tcPr>
            <w:tcW w:w="6312" w:type="dxa"/>
            <w:tcBorders>
              <w:left w:val="single" w:sz="4" w:space="0" w:color="auto"/>
            </w:tcBorders>
            <w:shd w:val="clear" w:color="auto" w:fill="auto"/>
            <w:vAlign w:val="center"/>
          </w:tcPr>
          <w:p w14:paraId="59A0BD2E" w14:textId="77777777" w:rsidR="00487368" w:rsidRPr="00C176A4" w:rsidRDefault="00D36A6C" w:rsidP="00C176A4">
            <w:pPr>
              <w:jc w:val="both"/>
              <w:rPr>
                <w:b/>
              </w:rPr>
            </w:pPr>
            <w:r>
              <w:rPr>
                <w:b/>
              </w:rPr>
              <w:t>Odluka</w:t>
            </w:r>
            <w:r w:rsidR="003F254E" w:rsidRPr="003F254E">
              <w:rPr>
                <w:b/>
              </w:rPr>
              <w:t xml:space="preserve"> o izmjenama i dopunama Odluke </w:t>
            </w:r>
            <w:r w:rsidR="00257399">
              <w:rPr>
                <w:b/>
              </w:rPr>
              <w:t>o komunalnom redu</w:t>
            </w:r>
          </w:p>
        </w:tc>
      </w:tr>
      <w:tr w:rsidR="00487368" w14:paraId="44D1E4E9" w14:textId="77777777" w:rsidTr="00257399">
        <w:trPr>
          <w:trHeight w:val="932"/>
        </w:trPr>
        <w:tc>
          <w:tcPr>
            <w:tcW w:w="3895" w:type="dxa"/>
            <w:tcBorders>
              <w:right w:val="single" w:sz="4" w:space="0" w:color="auto"/>
            </w:tcBorders>
            <w:shd w:val="clear" w:color="auto" w:fill="auto"/>
            <w:vAlign w:val="center"/>
          </w:tcPr>
          <w:p w14:paraId="6FD48026" w14:textId="77777777" w:rsidR="00487368" w:rsidRPr="00C176A4" w:rsidRDefault="00487368" w:rsidP="00487368">
            <w:pPr>
              <w:rPr>
                <w:b/>
              </w:rPr>
            </w:pPr>
            <w:r w:rsidRPr="00C176A4">
              <w:rPr>
                <w:b/>
              </w:rPr>
              <w:t>Nositelj izrade nacrta akta (gradsko upravno tijelo koje je provelo savjetovanje)</w:t>
            </w:r>
          </w:p>
        </w:tc>
        <w:tc>
          <w:tcPr>
            <w:tcW w:w="6312" w:type="dxa"/>
            <w:tcBorders>
              <w:left w:val="single" w:sz="4" w:space="0" w:color="auto"/>
            </w:tcBorders>
            <w:shd w:val="clear" w:color="auto" w:fill="auto"/>
            <w:vAlign w:val="center"/>
          </w:tcPr>
          <w:p w14:paraId="4645166F" w14:textId="77777777" w:rsidR="00423E43" w:rsidRDefault="00423E43" w:rsidP="00423E43">
            <w:pPr>
              <w:jc w:val="both"/>
              <w:rPr>
                <w:rFonts w:eastAsia="Calibri"/>
                <w:lang w:eastAsia="en-US"/>
              </w:rPr>
            </w:pPr>
            <w:r>
              <w:rPr>
                <w:rFonts w:eastAsia="Calibri"/>
                <w:lang w:eastAsia="en-US"/>
              </w:rPr>
              <w:t xml:space="preserve">Gradski ured za </w:t>
            </w:r>
            <w:r w:rsidR="00257399">
              <w:rPr>
                <w:rFonts w:eastAsia="Calibri"/>
                <w:lang w:eastAsia="en-US"/>
              </w:rPr>
              <w:t xml:space="preserve">obnovu, izgradnju, </w:t>
            </w:r>
            <w:r>
              <w:rPr>
                <w:rFonts w:eastAsia="Calibri"/>
                <w:lang w:eastAsia="en-US"/>
              </w:rPr>
              <w:t>prostorno uređenje, graditeljstvo, komunalne poslove i promet</w:t>
            </w:r>
          </w:p>
          <w:p w14:paraId="637A7810" w14:textId="77777777" w:rsidR="00423E43" w:rsidRDefault="00423E43" w:rsidP="00423E43">
            <w:pPr>
              <w:ind w:left="705"/>
              <w:jc w:val="both"/>
              <w:rPr>
                <w:rFonts w:eastAsia="Calibri"/>
                <w:lang w:eastAsia="en-US"/>
              </w:rPr>
            </w:pPr>
          </w:p>
          <w:p w14:paraId="6C5CF28C" w14:textId="77777777" w:rsidR="00487368" w:rsidRPr="00C176A4" w:rsidRDefault="00487368" w:rsidP="00C176A4">
            <w:pPr>
              <w:jc w:val="both"/>
              <w:rPr>
                <w:b/>
              </w:rPr>
            </w:pPr>
          </w:p>
        </w:tc>
      </w:tr>
      <w:tr w:rsidR="00487368" w14:paraId="1D18FE66" w14:textId="77777777" w:rsidTr="00257399">
        <w:trPr>
          <w:trHeight w:val="561"/>
        </w:trPr>
        <w:tc>
          <w:tcPr>
            <w:tcW w:w="3895" w:type="dxa"/>
            <w:tcBorders>
              <w:right w:val="single" w:sz="4" w:space="0" w:color="auto"/>
            </w:tcBorders>
            <w:shd w:val="clear" w:color="auto" w:fill="auto"/>
            <w:vAlign w:val="center"/>
          </w:tcPr>
          <w:p w14:paraId="4347A8D1" w14:textId="77777777" w:rsidR="00487368" w:rsidRPr="00C176A4" w:rsidRDefault="00487368" w:rsidP="00C176A4">
            <w:pPr>
              <w:jc w:val="both"/>
              <w:rPr>
                <w:b/>
              </w:rPr>
            </w:pPr>
            <w:r w:rsidRPr="00C176A4">
              <w:rPr>
                <w:b/>
              </w:rPr>
              <w:t>Vrijeme trajanja savjetovanja</w:t>
            </w:r>
          </w:p>
        </w:tc>
        <w:tc>
          <w:tcPr>
            <w:tcW w:w="6312" w:type="dxa"/>
            <w:tcBorders>
              <w:left w:val="single" w:sz="4" w:space="0" w:color="auto"/>
            </w:tcBorders>
            <w:shd w:val="clear" w:color="auto" w:fill="auto"/>
            <w:vAlign w:val="center"/>
          </w:tcPr>
          <w:p w14:paraId="2F244287" w14:textId="77777777" w:rsidR="00487368" w:rsidRPr="00423E43" w:rsidRDefault="00257399" w:rsidP="006F26B2">
            <w:bookmarkStart w:id="0" w:name="_GoBack"/>
            <w:bookmarkEnd w:id="0"/>
            <w:r>
              <w:t>25.3. - 24.04.2022.</w:t>
            </w:r>
          </w:p>
        </w:tc>
      </w:tr>
      <w:tr w:rsidR="00487368" w14:paraId="01FC2969" w14:textId="77777777" w:rsidTr="00257399">
        <w:trPr>
          <w:trHeight w:val="561"/>
        </w:trPr>
        <w:tc>
          <w:tcPr>
            <w:tcW w:w="3895" w:type="dxa"/>
            <w:tcBorders>
              <w:right w:val="single" w:sz="4" w:space="0" w:color="auto"/>
            </w:tcBorders>
            <w:shd w:val="clear" w:color="auto" w:fill="auto"/>
            <w:vAlign w:val="center"/>
          </w:tcPr>
          <w:p w14:paraId="62E46239" w14:textId="77777777" w:rsidR="00487368" w:rsidRPr="00C176A4" w:rsidRDefault="00487368" w:rsidP="00C176A4">
            <w:pPr>
              <w:jc w:val="both"/>
              <w:rPr>
                <w:b/>
              </w:rPr>
            </w:pPr>
            <w:r w:rsidRPr="00C176A4">
              <w:rPr>
                <w:b/>
              </w:rPr>
              <w:t xml:space="preserve">Metoda savjetovanja </w:t>
            </w:r>
          </w:p>
        </w:tc>
        <w:tc>
          <w:tcPr>
            <w:tcW w:w="6312" w:type="dxa"/>
            <w:tcBorders>
              <w:left w:val="single" w:sz="4" w:space="0" w:color="auto"/>
            </w:tcBorders>
            <w:shd w:val="clear" w:color="auto" w:fill="auto"/>
            <w:vAlign w:val="center"/>
          </w:tcPr>
          <w:p w14:paraId="6E99165F" w14:textId="77777777" w:rsidR="00487368" w:rsidRPr="00423E43" w:rsidRDefault="00423E43" w:rsidP="00C176A4">
            <w:pPr>
              <w:jc w:val="both"/>
            </w:pPr>
            <w:r w:rsidRPr="00423E43">
              <w:t>Internetsko savjetovanje</w:t>
            </w:r>
          </w:p>
        </w:tc>
      </w:tr>
    </w:tbl>
    <w:p w14:paraId="41CD4E07" w14:textId="77777777" w:rsidR="00487368" w:rsidRDefault="00487368" w:rsidP="00487368"/>
    <w:tbl>
      <w:tblPr>
        <w:tblW w:w="10490" w:type="dxa"/>
        <w:tblInd w:w="-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701"/>
        <w:gridCol w:w="2127"/>
        <w:gridCol w:w="3543"/>
        <w:gridCol w:w="2410"/>
      </w:tblGrid>
      <w:tr w:rsidR="00487368" w14:paraId="7C6E6CFF" w14:textId="77777777" w:rsidTr="00D1568D">
        <w:tc>
          <w:tcPr>
            <w:tcW w:w="709" w:type="dxa"/>
            <w:tcBorders>
              <w:top w:val="thinThickSmallGap" w:sz="24" w:space="0" w:color="auto"/>
              <w:left w:val="thinThickSmallGap" w:sz="24" w:space="0" w:color="auto"/>
            </w:tcBorders>
            <w:shd w:val="clear" w:color="auto" w:fill="auto"/>
            <w:vAlign w:val="center"/>
          </w:tcPr>
          <w:p w14:paraId="7C3734D0" w14:textId="77777777" w:rsidR="00487368" w:rsidRPr="00257399" w:rsidRDefault="00487368" w:rsidP="00C176A4">
            <w:pPr>
              <w:jc w:val="center"/>
              <w:rPr>
                <w:b/>
              </w:rPr>
            </w:pPr>
            <w:r w:rsidRPr="00257399">
              <w:rPr>
                <w:b/>
              </w:rPr>
              <w:t>Red. br.</w:t>
            </w:r>
          </w:p>
        </w:tc>
        <w:tc>
          <w:tcPr>
            <w:tcW w:w="1701" w:type="dxa"/>
            <w:tcBorders>
              <w:top w:val="thinThickSmallGap" w:sz="24" w:space="0" w:color="auto"/>
            </w:tcBorders>
            <w:shd w:val="clear" w:color="auto" w:fill="auto"/>
            <w:vAlign w:val="center"/>
          </w:tcPr>
          <w:p w14:paraId="6CF21156" w14:textId="77777777" w:rsidR="00487368" w:rsidRPr="00257399" w:rsidRDefault="00487368" w:rsidP="00C176A4">
            <w:pPr>
              <w:jc w:val="center"/>
              <w:rPr>
                <w:b/>
              </w:rPr>
            </w:pPr>
            <w:r w:rsidRPr="00257399">
              <w:rPr>
                <w:b/>
              </w:rPr>
              <w:t>Predstavnici  javnosti (pojedinac, organizacija, institucija)</w:t>
            </w:r>
          </w:p>
        </w:tc>
        <w:tc>
          <w:tcPr>
            <w:tcW w:w="2127" w:type="dxa"/>
            <w:tcBorders>
              <w:top w:val="thinThickSmallGap" w:sz="24" w:space="0" w:color="auto"/>
            </w:tcBorders>
            <w:shd w:val="clear" w:color="auto" w:fill="auto"/>
            <w:vAlign w:val="center"/>
          </w:tcPr>
          <w:p w14:paraId="1D900129" w14:textId="77777777" w:rsidR="00487368" w:rsidRPr="00257399" w:rsidRDefault="00487368" w:rsidP="00C176A4">
            <w:pPr>
              <w:jc w:val="center"/>
              <w:rPr>
                <w:b/>
              </w:rPr>
            </w:pPr>
            <w:r w:rsidRPr="00257399">
              <w:rPr>
                <w:b/>
              </w:rPr>
              <w:t>Članak na koji se odnosi primjedba/</w:t>
            </w:r>
          </w:p>
          <w:p w14:paraId="3889518B" w14:textId="77777777" w:rsidR="00487368" w:rsidRPr="00257399" w:rsidRDefault="00487368" w:rsidP="00C176A4">
            <w:pPr>
              <w:jc w:val="center"/>
              <w:rPr>
                <w:b/>
              </w:rPr>
            </w:pPr>
            <w:r w:rsidRPr="00257399">
              <w:rPr>
                <w:b/>
              </w:rPr>
              <w:t>prijedlog</w:t>
            </w:r>
          </w:p>
        </w:tc>
        <w:tc>
          <w:tcPr>
            <w:tcW w:w="3543" w:type="dxa"/>
            <w:tcBorders>
              <w:top w:val="thinThickSmallGap" w:sz="24" w:space="0" w:color="auto"/>
            </w:tcBorders>
            <w:shd w:val="clear" w:color="auto" w:fill="auto"/>
            <w:vAlign w:val="center"/>
          </w:tcPr>
          <w:p w14:paraId="070A1E90" w14:textId="77777777" w:rsidR="00487368" w:rsidRPr="00257399" w:rsidRDefault="00487368" w:rsidP="00C176A4">
            <w:pPr>
              <w:jc w:val="center"/>
              <w:rPr>
                <w:b/>
              </w:rPr>
            </w:pPr>
            <w:r w:rsidRPr="00257399">
              <w:rPr>
                <w:b/>
              </w:rPr>
              <w:t>Tekst primjedbe/</w:t>
            </w:r>
          </w:p>
          <w:p w14:paraId="2A431E5B" w14:textId="77777777" w:rsidR="00487368" w:rsidRPr="00257399" w:rsidRDefault="00487368" w:rsidP="00C176A4">
            <w:pPr>
              <w:jc w:val="center"/>
              <w:rPr>
                <w:b/>
              </w:rPr>
            </w:pPr>
            <w:r w:rsidRPr="00257399">
              <w:rPr>
                <w:b/>
              </w:rPr>
              <w:t>prijedloga</w:t>
            </w:r>
          </w:p>
        </w:tc>
        <w:tc>
          <w:tcPr>
            <w:tcW w:w="2410" w:type="dxa"/>
            <w:tcBorders>
              <w:top w:val="thinThickSmallGap" w:sz="24" w:space="0" w:color="auto"/>
              <w:right w:val="thinThickSmallGap" w:sz="24" w:space="0" w:color="auto"/>
            </w:tcBorders>
            <w:shd w:val="clear" w:color="auto" w:fill="auto"/>
            <w:vAlign w:val="center"/>
          </w:tcPr>
          <w:p w14:paraId="6BF04AB2" w14:textId="77777777" w:rsidR="00487368" w:rsidRPr="00257399" w:rsidRDefault="00487368" w:rsidP="00C176A4">
            <w:pPr>
              <w:jc w:val="center"/>
              <w:rPr>
                <w:b/>
              </w:rPr>
            </w:pPr>
            <w:r w:rsidRPr="00257399">
              <w:rPr>
                <w:b/>
              </w:rPr>
              <w:t>Prihvaćanje/ neprihvaćanje primjedbe/ prijedloga sa obrazloženjem</w:t>
            </w:r>
          </w:p>
        </w:tc>
      </w:tr>
      <w:tr w:rsidR="00487368" w14:paraId="5D38BA93" w14:textId="77777777" w:rsidTr="00D1568D">
        <w:trPr>
          <w:trHeight w:val="2824"/>
        </w:trPr>
        <w:tc>
          <w:tcPr>
            <w:tcW w:w="709" w:type="dxa"/>
            <w:tcBorders>
              <w:left w:val="thinThickSmallGap" w:sz="24" w:space="0" w:color="auto"/>
            </w:tcBorders>
            <w:shd w:val="clear" w:color="auto" w:fill="auto"/>
          </w:tcPr>
          <w:p w14:paraId="335866DA" w14:textId="77777777" w:rsidR="00487368" w:rsidRDefault="00423E43" w:rsidP="00257399">
            <w:pPr>
              <w:jc w:val="center"/>
            </w:pPr>
            <w:r>
              <w:t>1.</w:t>
            </w:r>
          </w:p>
        </w:tc>
        <w:tc>
          <w:tcPr>
            <w:tcW w:w="1701" w:type="dxa"/>
            <w:shd w:val="clear" w:color="auto" w:fill="auto"/>
          </w:tcPr>
          <w:p w14:paraId="616E888B" w14:textId="77777777" w:rsidR="003F254E" w:rsidRDefault="00257399" w:rsidP="00257399">
            <w:r w:rsidRPr="00257399">
              <w:t>Gradski ured za gospodarstvo, ekološku održivost i strategijsko planiranje</w:t>
            </w:r>
          </w:p>
        </w:tc>
        <w:tc>
          <w:tcPr>
            <w:tcW w:w="2127" w:type="dxa"/>
            <w:shd w:val="clear" w:color="auto" w:fill="auto"/>
          </w:tcPr>
          <w:p w14:paraId="6879240B" w14:textId="77777777" w:rsidR="00257399" w:rsidRDefault="00257399" w:rsidP="00257399">
            <w:pPr>
              <w:jc w:val="center"/>
            </w:pPr>
          </w:p>
          <w:p w14:paraId="0A68BB40" w14:textId="77777777" w:rsidR="00257399" w:rsidRDefault="00257399" w:rsidP="00257399">
            <w:pPr>
              <w:jc w:val="center"/>
            </w:pPr>
          </w:p>
          <w:p w14:paraId="6EE44663" w14:textId="77777777" w:rsidR="00487368" w:rsidRDefault="00257399" w:rsidP="00257399">
            <w:pPr>
              <w:jc w:val="center"/>
            </w:pPr>
            <w:r>
              <w:t>Članak 1.</w:t>
            </w:r>
          </w:p>
        </w:tc>
        <w:tc>
          <w:tcPr>
            <w:tcW w:w="3543" w:type="dxa"/>
            <w:shd w:val="clear" w:color="auto" w:fill="auto"/>
          </w:tcPr>
          <w:p w14:paraId="466D3063" w14:textId="77777777" w:rsidR="00257399" w:rsidRDefault="00257399" w:rsidP="00257399">
            <w:r>
              <w:t>Predlaže se korekcija istočne granice obuhvata gradnje podzemnih spremnika na način da istočna granica zone bude Šubićeva ulica.</w:t>
            </w:r>
          </w:p>
          <w:p w14:paraId="65E61982" w14:textId="77777777" w:rsidR="00257399" w:rsidRDefault="00257399" w:rsidP="00257399">
            <w:r>
              <w:t xml:space="preserve">Područje između Šubićeve, Branimirove i </w:t>
            </w:r>
            <w:proofErr w:type="spellStart"/>
            <w:r>
              <w:t>Heinzelove</w:t>
            </w:r>
            <w:proofErr w:type="spellEnd"/>
            <w:r>
              <w:t xml:space="preserve"> ulice nije u zoni A zaštite, novije je gradnje, te se predlaže omogućavanje gradnje nadzemnih spremnika.</w:t>
            </w:r>
          </w:p>
          <w:p w14:paraId="476D7E5F" w14:textId="77777777" w:rsidR="00257399" w:rsidRDefault="00257399" w:rsidP="00257399">
            <w:r>
              <w:t>Prijedlog novog obuhvata:</w:t>
            </w:r>
          </w:p>
          <w:p w14:paraId="4E95DCCD" w14:textId="12C01E55" w:rsidR="00D36A6C" w:rsidRDefault="00257399" w:rsidP="00257399">
            <w:r>
              <w:t xml:space="preserve">„Područje užeg centra Grada Zagreba iz stavka 1. obuhvaća područje omeđeno ulicama (uključujući obje strane ulica i trgove) na zapadu Ulicom Republike Austrije do Ulice Vatroslava Jagića, na jugu Ulicom Vatroslava Jagića, </w:t>
            </w:r>
            <w:proofErr w:type="spellStart"/>
            <w:r>
              <w:t>Jukićevom</w:t>
            </w:r>
            <w:proofErr w:type="spellEnd"/>
            <w:r>
              <w:t xml:space="preserve"> ulicom, Ulicom Đure </w:t>
            </w:r>
            <w:proofErr w:type="spellStart"/>
            <w:r>
              <w:t>Crnatka</w:t>
            </w:r>
            <w:proofErr w:type="spellEnd"/>
            <w:r>
              <w:t xml:space="preserve">, Ulicom Josipa Runjanina, Mihanovićevom ulicom, </w:t>
            </w:r>
            <w:proofErr w:type="spellStart"/>
            <w:r>
              <w:t>Haulikovom</w:t>
            </w:r>
            <w:proofErr w:type="spellEnd"/>
            <w:r>
              <w:t xml:space="preserve"> ulicom, Ulicom Grgura Ninskog, Ulicom kneza Branimira do križanja s Avenijom Marina Držića; na istoku Avenijom Marina Držića, Trgom kralja Petra Krešimira IV i Ulicom Pavla Šubića do Trga </w:t>
            </w:r>
            <w:r>
              <w:lastRenderedPageBreak/>
              <w:t xml:space="preserve">Eugena Kvaternika, na sjeveru Trgom Eugena Kvaternika, Vlaškom ulicom, Trgom svibanjskih žrtava 1995., Trgom Josipa Langa, Ribnjakom do križanja s Ulicom Henrika </w:t>
            </w:r>
            <w:proofErr w:type="spellStart"/>
            <w:r>
              <w:t>Degena</w:t>
            </w:r>
            <w:proofErr w:type="spellEnd"/>
            <w:r>
              <w:t xml:space="preserve">, Ulica Tome </w:t>
            </w:r>
            <w:proofErr w:type="spellStart"/>
            <w:r>
              <w:t>Mikloušića</w:t>
            </w:r>
            <w:proofErr w:type="spellEnd"/>
            <w:r>
              <w:t xml:space="preserve"> na zapadu, </w:t>
            </w:r>
            <w:proofErr w:type="spellStart"/>
            <w:r>
              <w:t>Tkalčićevom</w:t>
            </w:r>
            <w:proofErr w:type="spellEnd"/>
            <w:r>
              <w:t xml:space="preserve"> ulicom do Stuba Bartola </w:t>
            </w:r>
            <w:proofErr w:type="spellStart"/>
            <w:r>
              <w:t>Felbingera</w:t>
            </w:r>
            <w:proofErr w:type="spellEnd"/>
            <w:r>
              <w:t xml:space="preserve"> do Ulice Pavla Radića, na sjever do Ilirskog trga, na jug do </w:t>
            </w:r>
            <w:proofErr w:type="spellStart"/>
            <w:r>
              <w:t>Vrazovog</w:t>
            </w:r>
            <w:proofErr w:type="spellEnd"/>
            <w:r>
              <w:t xml:space="preserve"> šetališta do Dubravkinog puta, Dubravkinim putem do  Tuškanca, Ulica Ivana </w:t>
            </w:r>
            <w:proofErr w:type="spellStart"/>
            <w:r>
              <w:t>Dežmana</w:t>
            </w:r>
            <w:proofErr w:type="spellEnd"/>
            <w:r>
              <w:t>, Ilicom na zapad do Britanskog trga, Britanski trg te Ilicom do križanja s Ulicom Republike Austrije</w:t>
            </w:r>
          </w:p>
        </w:tc>
        <w:tc>
          <w:tcPr>
            <w:tcW w:w="2410" w:type="dxa"/>
            <w:tcBorders>
              <w:right w:val="thinThickSmallGap" w:sz="24" w:space="0" w:color="auto"/>
            </w:tcBorders>
            <w:shd w:val="clear" w:color="auto" w:fill="auto"/>
          </w:tcPr>
          <w:p w14:paraId="66447997" w14:textId="77777777" w:rsidR="0060050D" w:rsidRDefault="0060050D" w:rsidP="00487368"/>
          <w:p w14:paraId="6BF97CE1" w14:textId="77777777" w:rsidR="00AF65B2" w:rsidRDefault="00257399" w:rsidP="00257399">
            <w:pPr>
              <w:jc w:val="center"/>
            </w:pPr>
            <w:r>
              <w:t>Prihvaća se</w:t>
            </w:r>
          </w:p>
        </w:tc>
      </w:tr>
      <w:tr w:rsidR="00463A63" w14:paraId="65BCCF2D" w14:textId="77777777" w:rsidTr="00D1568D">
        <w:trPr>
          <w:trHeight w:val="2824"/>
        </w:trPr>
        <w:tc>
          <w:tcPr>
            <w:tcW w:w="709" w:type="dxa"/>
            <w:tcBorders>
              <w:left w:val="thinThickSmallGap" w:sz="24" w:space="0" w:color="auto"/>
            </w:tcBorders>
            <w:shd w:val="clear" w:color="auto" w:fill="auto"/>
          </w:tcPr>
          <w:p w14:paraId="7031FD68" w14:textId="719969B4" w:rsidR="00463A63" w:rsidRDefault="00463A63" w:rsidP="00257399">
            <w:pPr>
              <w:jc w:val="center"/>
            </w:pPr>
            <w:r>
              <w:lastRenderedPageBreak/>
              <w:t>2.</w:t>
            </w:r>
          </w:p>
        </w:tc>
        <w:tc>
          <w:tcPr>
            <w:tcW w:w="1701" w:type="dxa"/>
            <w:shd w:val="clear" w:color="auto" w:fill="auto"/>
          </w:tcPr>
          <w:p w14:paraId="48D36FB3" w14:textId="1ECE3331" w:rsidR="00463A63" w:rsidRPr="00257399" w:rsidRDefault="00463A63" w:rsidP="00257399">
            <w:r>
              <w:t>Suzana Dobrić</w:t>
            </w:r>
          </w:p>
        </w:tc>
        <w:tc>
          <w:tcPr>
            <w:tcW w:w="2127" w:type="dxa"/>
            <w:shd w:val="clear" w:color="auto" w:fill="auto"/>
          </w:tcPr>
          <w:p w14:paraId="02EE5417" w14:textId="340AEFCC" w:rsidR="00463A63" w:rsidRDefault="00463A63" w:rsidP="003227ED">
            <w:r>
              <w:t>Načelna primjedba</w:t>
            </w:r>
          </w:p>
          <w:p w14:paraId="7270F5AC" w14:textId="11519C85" w:rsidR="00463A63" w:rsidRDefault="00463A63" w:rsidP="003227ED">
            <w:r>
              <w:t xml:space="preserve">Pronaći kriterije i model za grupiranje kontejnera kod </w:t>
            </w:r>
            <w:proofErr w:type="spellStart"/>
            <w:r>
              <w:t>višestambenih</w:t>
            </w:r>
            <w:proofErr w:type="spellEnd"/>
            <w:r>
              <w:t xml:space="preserve"> zgrada za više ulaza, odnosno kućnih brojeva.</w:t>
            </w:r>
          </w:p>
        </w:tc>
        <w:tc>
          <w:tcPr>
            <w:tcW w:w="3543" w:type="dxa"/>
            <w:shd w:val="clear" w:color="auto" w:fill="auto"/>
          </w:tcPr>
          <w:p w14:paraId="728DCAE8" w14:textId="727B1896" w:rsidR="00463A63" w:rsidRDefault="00715237" w:rsidP="00715237">
            <w:r>
              <w:t>U</w:t>
            </w:r>
            <w:r w:rsidR="00463A63">
              <w:t xml:space="preserve"> postupku</w:t>
            </w:r>
            <w:r>
              <w:t xml:space="preserve"> je</w:t>
            </w:r>
            <w:r w:rsidR="00463A63">
              <w:t xml:space="preserve"> pronalaženje modela kojim bi se omogućilo  u  pojedinim slučajevima zajedničko korištenje spremnika</w:t>
            </w:r>
            <w:r w:rsidR="003227ED">
              <w:t xml:space="preserve"> za komunalni otpad.</w:t>
            </w:r>
          </w:p>
        </w:tc>
        <w:tc>
          <w:tcPr>
            <w:tcW w:w="2410" w:type="dxa"/>
            <w:tcBorders>
              <w:right w:val="thinThickSmallGap" w:sz="24" w:space="0" w:color="auto"/>
            </w:tcBorders>
            <w:shd w:val="clear" w:color="auto" w:fill="auto"/>
          </w:tcPr>
          <w:p w14:paraId="44AE1733" w14:textId="05C4CCDF" w:rsidR="00463A63" w:rsidRDefault="00D1568D" w:rsidP="00AB6512">
            <w:r>
              <w:t xml:space="preserve">Prijedlog je  u razmatranju  i </w:t>
            </w:r>
            <w:r w:rsidR="003227ED">
              <w:t>primijeniti će se ovisno o mogućnostima</w:t>
            </w:r>
          </w:p>
        </w:tc>
      </w:tr>
      <w:tr w:rsidR="00463A63" w14:paraId="22257E5D" w14:textId="77777777" w:rsidTr="00D1568D">
        <w:trPr>
          <w:trHeight w:val="2824"/>
        </w:trPr>
        <w:tc>
          <w:tcPr>
            <w:tcW w:w="709" w:type="dxa"/>
            <w:tcBorders>
              <w:left w:val="thinThickSmallGap" w:sz="24" w:space="0" w:color="auto"/>
            </w:tcBorders>
            <w:shd w:val="clear" w:color="auto" w:fill="auto"/>
          </w:tcPr>
          <w:p w14:paraId="76212C18" w14:textId="77777777" w:rsidR="00463A63" w:rsidRDefault="00463A63" w:rsidP="00257399">
            <w:pPr>
              <w:jc w:val="center"/>
            </w:pPr>
          </w:p>
        </w:tc>
        <w:tc>
          <w:tcPr>
            <w:tcW w:w="1701" w:type="dxa"/>
            <w:shd w:val="clear" w:color="auto" w:fill="auto"/>
          </w:tcPr>
          <w:p w14:paraId="71A5907F" w14:textId="77777777" w:rsidR="00463A63" w:rsidRPr="00257399" w:rsidRDefault="00463A63" w:rsidP="00257399"/>
        </w:tc>
        <w:tc>
          <w:tcPr>
            <w:tcW w:w="2127" w:type="dxa"/>
            <w:shd w:val="clear" w:color="auto" w:fill="auto"/>
          </w:tcPr>
          <w:p w14:paraId="1D9AF04C" w14:textId="2DB5B1EB" w:rsidR="00434DB6" w:rsidRPr="00434DB6" w:rsidRDefault="00434DB6" w:rsidP="00434DB6">
            <w:r>
              <w:t>č</w:t>
            </w:r>
            <w:r w:rsidRPr="00434DB6">
              <w:t>l. 1. (koji se odnosi na čl. 87.)</w:t>
            </w:r>
          </w:p>
          <w:p w14:paraId="77A55B09" w14:textId="77777777" w:rsidR="00463A63" w:rsidRDefault="00463A63" w:rsidP="00257399">
            <w:pPr>
              <w:jc w:val="center"/>
            </w:pPr>
          </w:p>
        </w:tc>
        <w:tc>
          <w:tcPr>
            <w:tcW w:w="3543" w:type="dxa"/>
            <w:shd w:val="clear" w:color="auto" w:fill="auto"/>
          </w:tcPr>
          <w:p w14:paraId="1DA24EB3" w14:textId="5E74911F" w:rsidR="00463A63" w:rsidRDefault="00434DB6" w:rsidP="00257399">
            <w:r>
              <w:t xml:space="preserve">Odlukom je predviđeno da podzemne spremnike na području užeg centra Grada Zagreba gradi o svom trošku Grad, a građevine gotove konstrukcije za smještaj spremnika gradi o svom trošku korisnik javne usluge sakupljanja komunalnog otpada, odnosno vlasnik zgrade. </w:t>
            </w:r>
            <w:r>
              <w:br/>
              <w:t xml:space="preserve">Smatramo da predloženo rješenje nije pravično jer će sve zgrade izvan užeg gradskog središta gdje nije propisana izgradnja podzemnih spremnika zbog primjene ove odluke imati značajne troškove koji mogu ugroziti redovito održavanje zgrade. Iako još nisu poznati troškovi postavljanja boksova za spremnike, zbog stanja na tržištu građevinskog materijala očekivano je da će one biti visoke s tendencijom rasta. Stoga </w:t>
            </w:r>
            <w:r>
              <w:lastRenderedPageBreak/>
              <w:t>smatramo da je potrebno pronaći model sufinanciranja kako bi se zgradama olakšao prelazak na novi način sakupljanja otpada</w:t>
            </w:r>
          </w:p>
        </w:tc>
        <w:tc>
          <w:tcPr>
            <w:tcW w:w="2410" w:type="dxa"/>
            <w:tcBorders>
              <w:right w:val="thinThickSmallGap" w:sz="24" w:space="0" w:color="auto"/>
            </w:tcBorders>
            <w:shd w:val="clear" w:color="auto" w:fill="auto"/>
          </w:tcPr>
          <w:p w14:paraId="17F394A2" w14:textId="559693AB" w:rsidR="00A72D85" w:rsidRDefault="00AB6512" w:rsidP="00A72D85">
            <w:r w:rsidRPr="006F26B2">
              <w:lastRenderedPageBreak/>
              <w:t>Z</w:t>
            </w:r>
            <w:r w:rsidR="00715237" w:rsidRPr="006F26B2">
              <w:t>grade</w:t>
            </w:r>
            <w:r w:rsidRPr="006F26B2">
              <w:t xml:space="preserve"> bi</w:t>
            </w:r>
            <w:r w:rsidR="00715237" w:rsidRPr="006F26B2">
              <w:t xml:space="preserve"> unutar svojih prostora  trebal</w:t>
            </w:r>
            <w:r w:rsidR="005B10D4" w:rsidRPr="006F26B2">
              <w:t>e</w:t>
            </w:r>
            <w:r w:rsidR="00715237" w:rsidRPr="006F26B2">
              <w:t xml:space="preserve"> imati  prostorne mogućnosti za smještaj spremnika za komunalni otpad i </w:t>
            </w:r>
            <w:r w:rsidR="003227ED" w:rsidRPr="006F26B2">
              <w:t xml:space="preserve">većina zgrada ih ima. </w:t>
            </w:r>
            <w:r w:rsidR="005B10D4" w:rsidRPr="006F26B2">
              <w:t xml:space="preserve"> Samo z</w:t>
            </w:r>
            <w:r w:rsidR="003227ED" w:rsidRPr="006F26B2">
              <w:t>a</w:t>
            </w:r>
            <w:r w:rsidR="005B10D4" w:rsidRPr="006F26B2">
              <w:t xml:space="preserve"> zgrade</w:t>
            </w:r>
            <w:r w:rsidR="003227ED" w:rsidRPr="006F26B2">
              <w:t xml:space="preserve"> </w:t>
            </w:r>
            <w:r w:rsidR="00715237" w:rsidRPr="006F26B2">
              <w:t xml:space="preserve">u užem </w:t>
            </w:r>
            <w:r w:rsidR="005B10D4" w:rsidRPr="006F26B2">
              <w:t>centru</w:t>
            </w:r>
            <w:r w:rsidR="00715237" w:rsidRPr="006F26B2">
              <w:t xml:space="preserve"> Grada Zagreba</w:t>
            </w:r>
            <w:r w:rsidR="005B10D4" w:rsidRPr="006F26B2">
              <w:t xml:space="preserve"> koje nemaju prostornih mogućnosti za smještaj spremnika unutar svojih nekretnina </w:t>
            </w:r>
            <w:r w:rsidR="006F26B2">
              <w:t xml:space="preserve"> za </w:t>
            </w:r>
            <w:r w:rsidR="005B10D4" w:rsidRPr="006F26B2">
              <w:t>korisni</w:t>
            </w:r>
            <w:r w:rsidR="006F26B2">
              <w:t>ke</w:t>
            </w:r>
            <w:r w:rsidR="005B10D4" w:rsidRPr="006F26B2">
              <w:t xml:space="preserve"> javne usluge</w:t>
            </w:r>
            <w:r w:rsidR="006F26B2" w:rsidRPr="006F26B2">
              <w:rPr>
                <w:bCs/>
              </w:rPr>
              <w:t xml:space="preserve"> </w:t>
            </w:r>
            <w:r w:rsidR="006F26B2" w:rsidRPr="006F26B2">
              <w:rPr>
                <w:bCs/>
              </w:rPr>
              <w:t>sakupljanja komunalnog otpada</w:t>
            </w:r>
            <w:r w:rsidR="005B10D4" w:rsidRPr="006F26B2">
              <w:t xml:space="preserve"> </w:t>
            </w:r>
            <w:r w:rsidR="00E9632A" w:rsidRPr="006F26B2">
              <w:t xml:space="preserve"> </w:t>
            </w:r>
            <w:r w:rsidR="00715237" w:rsidRPr="006F26B2">
              <w:t xml:space="preserve">predviđa se gradnja podzemnih spremnika, kako bi se očuvala povijesno urbana jezgra </w:t>
            </w:r>
            <w:r w:rsidR="003227ED" w:rsidRPr="006F26B2">
              <w:t xml:space="preserve"> i</w:t>
            </w:r>
            <w:r w:rsidR="005812CC" w:rsidRPr="006F26B2">
              <w:t xml:space="preserve"> urbanističko</w:t>
            </w:r>
            <w:r w:rsidR="005812CC">
              <w:t xml:space="preserve">-arhitektonski značaj </w:t>
            </w:r>
            <w:r w:rsidR="005812CC">
              <w:lastRenderedPageBreak/>
              <w:t>samoga prostora.</w:t>
            </w:r>
            <w:r w:rsidR="003227ED">
              <w:t xml:space="preserve"> </w:t>
            </w:r>
            <w:r w:rsidR="005812CC">
              <w:t>S</w:t>
            </w:r>
            <w:r w:rsidR="008D290F">
              <w:t xml:space="preserve"> obzirom na to da uže središte Grada predstavlja zaštićeno područje, Grad je na sebe preuzeo obvezu izgradnje podzemnih spremnika jer je njihova izgradnj</w:t>
            </w:r>
            <w:r w:rsidR="005812CC">
              <w:t>a i složenija i skuplja za građa</w:t>
            </w:r>
            <w:r w:rsidR="008D290F">
              <w:t xml:space="preserve">ne, a kako se radi o gradnji u  prostoru pod posebnom zaštitom postupak je dodatno </w:t>
            </w:r>
            <w:r w:rsidR="005812CC">
              <w:t xml:space="preserve"> i </w:t>
            </w:r>
            <w:r w:rsidR="008D290F">
              <w:t>složeniji. U ostalom dijelu Grada Zagreba omogućeno je postavljanje građevina gotove konstrukcije za smještaj spremnika jer je ocjenjeno da je postavljanje takvih konstrukcija jednostavnije i cjenovno prihvatljive  i da  građenje gotovih konstrukcije neće predstavljati teret koji vlasnici neće moći podmiriti iz troškova pričuve.</w:t>
            </w:r>
            <w:r w:rsidR="005812CC">
              <w:t xml:space="preserve"> </w:t>
            </w:r>
            <w:r w:rsidR="005B10D4">
              <w:t xml:space="preserve"> Ističemo da se ovdje radi o korištenju površine javne namjene  koje </w:t>
            </w:r>
            <w:r w:rsidR="006F26B2">
              <w:t xml:space="preserve"> </w:t>
            </w:r>
            <w:r w:rsidR="005B10D4">
              <w:t xml:space="preserve">je građanima omogućeno bez plaćanja naknade  te se slijedom navedenog </w:t>
            </w:r>
            <w:r>
              <w:t>primjedba ne prihvaća</w:t>
            </w:r>
          </w:p>
          <w:p w14:paraId="76B1E830" w14:textId="4FB0AB9F" w:rsidR="00463A63" w:rsidRDefault="00463A63" w:rsidP="005812CC"/>
        </w:tc>
      </w:tr>
      <w:tr w:rsidR="00434DB6" w14:paraId="08652E7E" w14:textId="77777777" w:rsidTr="00D1568D">
        <w:trPr>
          <w:trHeight w:val="2824"/>
        </w:trPr>
        <w:tc>
          <w:tcPr>
            <w:tcW w:w="709" w:type="dxa"/>
            <w:tcBorders>
              <w:left w:val="thinThickSmallGap" w:sz="24" w:space="0" w:color="auto"/>
            </w:tcBorders>
            <w:shd w:val="clear" w:color="auto" w:fill="auto"/>
          </w:tcPr>
          <w:p w14:paraId="70409FE3" w14:textId="77777777" w:rsidR="00434DB6" w:rsidRDefault="00434DB6" w:rsidP="00257399">
            <w:pPr>
              <w:jc w:val="center"/>
            </w:pPr>
          </w:p>
        </w:tc>
        <w:tc>
          <w:tcPr>
            <w:tcW w:w="1701" w:type="dxa"/>
            <w:shd w:val="clear" w:color="auto" w:fill="auto"/>
          </w:tcPr>
          <w:p w14:paraId="7A42BA8D" w14:textId="77777777" w:rsidR="00434DB6" w:rsidRPr="00257399" w:rsidRDefault="00434DB6" w:rsidP="00257399"/>
        </w:tc>
        <w:tc>
          <w:tcPr>
            <w:tcW w:w="2127" w:type="dxa"/>
            <w:shd w:val="clear" w:color="auto" w:fill="auto"/>
          </w:tcPr>
          <w:p w14:paraId="7DCB5DA7" w14:textId="6EB6C08E" w:rsidR="00434DB6" w:rsidRPr="00434DB6" w:rsidRDefault="00434DB6" w:rsidP="00434DB6">
            <w:r w:rsidRPr="00434DB6">
              <w:t>čl. 2. (koji se odnosi na čl.87a.)</w:t>
            </w:r>
          </w:p>
          <w:p w14:paraId="6CFBB36C" w14:textId="77777777" w:rsidR="00434DB6" w:rsidRDefault="00434DB6" w:rsidP="00434DB6">
            <w:pPr>
              <w:rPr>
                <w:b/>
              </w:rPr>
            </w:pPr>
          </w:p>
        </w:tc>
        <w:tc>
          <w:tcPr>
            <w:tcW w:w="3543" w:type="dxa"/>
            <w:shd w:val="clear" w:color="auto" w:fill="auto"/>
          </w:tcPr>
          <w:p w14:paraId="0F1F2E59" w14:textId="492D1229" w:rsidR="00434DB6" w:rsidRDefault="00434DB6" w:rsidP="00257399">
            <w:r>
              <w:t>Prilikom procedure izdavanja rješenja i za podzemne spremnike i za nadzemne boksove osim navedenih zatražiti i mišljenje Ministarstva unutarnjih poslova, Ravnateljstva civilne zaštite zbog kontrole prohodnosti vatrogasnih pristupa</w:t>
            </w:r>
          </w:p>
        </w:tc>
        <w:tc>
          <w:tcPr>
            <w:tcW w:w="2410" w:type="dxa"/>
            <w:tcBorders>
              <w:right w:val="thinThickSmallGap" w:sz="24" w:space="0" w:color="auto"/>
            </w:tcBorders>
            <w:shd w:val="clear" w:color="auto" w:fill="auto"/>
          </w:tcPr>
          <w:p w14:paraId="3DE361BA" w14:textId="23757901" w:rsidR="00A72D85" w:rsidRDefault="00A55A11" w:rsidP="00A72D85">
            <w:r>
              <w:t xml:space="preserve"> U odnosu na vatrogasne pristupe navodimo</w:t>
            </w:r>
            <w:r w:rsidR="00A72D85">
              <w:t xml:space="preserve"> da će se podzemni spremnici i gotove konstrukcije graditi u skladu s </w:t>
            </w:r>
          </w:p>
          <w:p w14:paraId="3A41C667" w14:textId="032C1516" w:rsidR="00434DB6" w:rsidRDefault="00A55A11" w:rsidP="00730092">
            <w:r>
              <w:t xml:space="preserve"> Pravilnikom o uvjetima za vatrogasn</w:t>
            </w:r>
            <w:r w:rsidR="00616D31">
              <w:t>e</w:t>
            </w:r>
            <w:r>
              <w:t xml:space="preserve"> pristup</w:t>
            </w:r>
            <w:r w:rsidR="00616D31">
              <w:t>e</w:t>
            </w:r>
            <w:r>
              <w:t xml:space="preserve"> (Narodne novine</w:t>
            </w:r>
            <w:r w:rsidR="00FC5D92">
              <w:t xml:space="preserve"> </w:t>
            </w:r>
            <w:r w:rsidR="00FC5D92">
              <w:rPr>
                <w:rFonts w:ascii="Minion Pro" w:hAnsi="Minion Pro"/>
                <w:color w:val="000000"/>
                <w:shd w:val="clear" w:color="auto" w:fill="FFFFFF"/>
              </w:rPr>
              <w:lastRenderedPageBreak/>
              <w:t>35/94, 55/94 i 142/03)</w:t>
            </w:r>
            <w:r w:rsidR="00A72D85">
              <w:rPr>
                <w:rFonts w:ascii="Minion Pro" w:hAnsi="Minion Pro"/>
                <w:color w:val="000000"/>
                <w:shd w:val="clear" w:color="auto" w:fill="FFFFFF"/>
              </w:rPr>
              <w:t xml:space="preserve"> kao i</w:t>
            </w:r>
            <w:r>
              <w:rPr>
                <w:rFonts w:ascii="Minion Pro" w:hAnsi="Minion Pro"/>
                <w:color w:val="000000"/>
                <w:shd w:val="clear" w:color="auto" w:fill="FFFFFF"/>
              </w:rPr>
              <w:t xml:space="preserve"> </w:t>
            </w:r>
            <w:r w:rsidR="00616D31">
              <w:rPr>
                <w:rFonts w:ascii="Minion Pro" w:hAnsi="Minion Pro"/>
                <w:color w:val="000000"/>
                <w:shd w:val="clear" w:color="auto" w:fill="FFFFFF"/>
              </w:rPr>
              <w:t xml:space="preserve"> </w:t>
            </w:r>
            <w:r w:rsidR="00A72D85">
              <w:rPr>
                <w:rFonts w:ascii="Minion Pro" w:hAnsi="Minion Pro"/>
                <w:color w:val="000000"/>
                <w:shd w:val="clear" w:color="auto" w:fill="FFFFFF"/>
              </w:rPr>
              <w:t xml:space="preserve"> </w:t>
            </w:r>
            <w:r w:rsidR="00616D31">
              <w:t xml:space="preserve">sukladno </w:t>
            </w:r>
            <w:r w:rsidR="00A72D85">
              <w:t xml:space="preserve">svim </w:t>
            </w:r>
            <w:r w:rsidR="00616D31">
              <w:t>posebnim propisima</w:t>
            </w:r>
            <w:r>
              <w:t xml:space="preserve"> </w:t>
            </w:r>
            <w:r w:rsidR="00730092">
              <w:t xml:space="preserve">  koji se  odnose na predmetnu materiju  te navedeni prijedlog nije potrebno posebno </w:t>
            </w:r>
            <w:r w:rsidR="00C84409">
              <w:t>propisivati  o</w:t>
            </w:r>
            <w:r w:rsidR="00730092">
              <w:t>dlukom o izmjenama i dopunama Odluke o komunalnom redu</w:t>
            </w:r>
          </w:p>
        </w:tc>
      </w:tr>
      <w:tr w:rsidR="00434DB6" w14:paraId="32127463" w14:textId="77777777" w:rsidTr="00D1568D">
        <w:trPr>
          <w:trHeight w:val="2824"/>
        </w:trPr>
        <w:tc>
          <w:tcPr>
            <w:tcW w:w="709" w:type="dxa"/>
            <w:tcBorders>
              <w:left w:val="thinThickSmallGap" w:sz="24" w:space="0" w:color="auto"/>
            </w:tcBorders>
            <w:shd w:val="clear" w:color="auto" w:fill="auto"/>
          </w:tcPr>
          <w:p w14:paraId="2DB9CC37" w14:textId="77777777" w:rsidR="00434DB6" w:rsidRDefault="00434DB6" w:rsidP="00257399">
            <w:pPr>
              <w:jc w:val="center"/>
            </w:pPr>
          </w:p>
        </w:tc>
        <w:tc>
          <w:tcPr>
            <w:tcW w:w="1701" w:type="dxa"/>
            <w:shd w:val="clear" w:color="auto" w:fill="auto"/>
          </w:tcPr>
          <w:p w14:paraId="4BDC30D2" w14:textId="77777777" w:rsidR="00434DB6" w:rsidRPr="00257399" w:rsidRDefault="00434DB6" w:rsidP="00257399"/>
        </w:tc>
        <w:tc>
          <w:tcPr>
            <w:tcW w:w="2127" w:type="dxa"/>
            <w:shd w:val="clear" w:color="auto" w:fill="auto"/>
          </w:tcPr>
          <w:p w14:paraId="09967DFF" w14:textId="466D3610" w:rsidR="00434DB6" w:rsidRPr="00434DB6" w:rsidRDefault="00434DB6" w:rsidP="00434DB6">
            <w:r w:rsidRPr="00434DB6">
              <w:t>čl. 3. (koji se odnosi na čl. 87b.)</w:t>
            </w:r>
          </w:p>
          <w:p w14:paraId="5949D622" w14:textId="77777777" w:rsidR="00434DB6" w:rsidRDefault="00434DB6" w:rsidP="00434DB6">
            <w:pPr>
              <w:rPr>
                <w:b/>
              </w:rPr>
            </w:pPr>
          </w:p>
        </w:tc>
        <w:tc>
          <w:tcPr>
            <w:tcW w:w="3543" w:type="dxa"/>
            <w:shd w:val="clear" w:color="auto" w:fill="auto"/>
          </w:tcPr>
          <w:p w14:paraId="57BA5EBC" w14:textId="77777777" w:rsidR="00434DB6" w:rsidRDefault="00434DB6" w:rsidP="00434DB6">
            <w:r>
              <w:t>Odlukom je predviđeno uklanjanje građevine gotove konstrukcije o trošku vlasnika bez prava na naknadu štete u tri slučaja:</w:t>
            </w:r>
          </w:p>
          <w:p w14:paraId="23D149F6" w14:textId="77777777" w:rsidR="00434DB6" w:rsidRDefault="00434DB6" w:rsidP="00434DB6">
            <w:r>
              <w:t xml:space="preserve">-ako se ne pridržava uvjeta određenih rješenjem, </w:t>
            </w:r>
            <w:r>
              <w:br/>
              <w:t>-ako se promijene prostorno-prometni uvjeti,</w:t>
            </w:r>
            <w:r>
              <w:br/>
              <w:t>-ako je površinu javne namjene potrebno koristiti za sadržaje koji su od interesa za Grad.</w:t>
            </w:r>
          </w:p>
          <w:p w14:paraId="00A8BB22" w14:textId="2F0F18EB" w:rsidR="00434DB6" w:rsidRDefault="00434DB6" w:rsidP="00434DB6">
            <w:r>
              <w:t>Smatramo kako je uklanjanje o trošku vlasnika potpuno opravdano u slučaju kada se on ne pridržava uvjeta određenih rješenjem. Međutim, smatramo da nije prihvatljivo da se trošak uklanjanja građevine čije je postavljanje inicirao Grad, drugom odlukom Grada, bez krivnje vlasnika zgrade, vlasnik penalizira i na njega prebacuje trošak uklanjanja građevine.</w:t>
            </w:r>
          </w:p>
        </w:tc>
        <w:tc>
          <w:tcPr>
            <w:tcW w:w="2410" w:type="dxa"/>
            <w:tcBorders>
              <w:right w:val="thinThickSmallGap" w:sz="24" w:space="0" w:color="auto"/>
            </w:tcBorders>
            <w:shd w:val="clear" w:color="auto" w:fill="auto"/>
          </w:tcPr>
          <w:p w14:paraId="653928B1" w14:textId="77777777" w:rsidR="00434DB6" w:rsidRDefault="00434DB6" w:rsidP="00487368"/>
          <w:p w14:paraId="641FC697" w14:textId="17600546" w:rsidR="003A6B64" w:rsidRDefault="003A6B64" w:rsidP="00487368">
            <w:r>
              <w:t>Primjedba se prihvaća</w:t>
            </w:r>
          </w:p>
        </w:tc>
      </w:tr>
    </w:tbl>
    <w:p w14:paraId="645A7689" w14:textId="77777777" w:rsidR="0021407F" w:rsidRDefault="0021407F" w:rsidP="0019746E"/>
    <w:sectPr w:rsidR="0021407F" w:rsidSect="00257399">
      <w:footerReference w:type="default" r:id="rId8"/>
      <w:pgSz w:w="11906" w:h="16838"/>
      <w:pgMar w:top="1079" w:right="709" w:bottom="1417" w:left="851" w:header="708" w:footer="1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AACB86" w14:textId="77777777" w:rsidR="00C27BB1" w:rsidRDefault="00C27BB1" w:rsidP="00A95FA0">
      <w:r>
        <w:separator/>
      </w:r>
    </w:p>
  </w:endnote>
  <w:endnote w:type="continuationSeparator" w:id="0">
    <w:p w14:paraId="76587086" w14:textId="77777777" w:rsidR="00C27BB1" w:rsidRDefault="00C27BB1" w:rsidP="00A95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0002AFF" w:usb1="C000247B" w:usb2="00000009" w:usb3="00000000" w:csb0="000001FF" w:csb1="00000000"/>
  </w:font>
  <w:font w:name="Minion Pro">
    <w:altName w:val="Times New Roman"/>
    <w:panose1 w:val="00000000000000000000"/>
    <w:charset w:val="00"/>
    <w:family w:val="roman"/>
    <w:notTrueType/>
    <w:pitch w:val="default"/>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7103350"/>
      <w:docPartObj>
        <w:docPartGallery w:val="Page Numbers (Bottom of Page)"/>
        <w:docPartUnique/>
      </w:docPartObj>
    </w:sdtPr>
    <w:sdtEndPr>
      <w:rPr>
        <w:noProof/>
      </w:rPr>
    </w:sdtEndPr>
    <w:sdtContent>
      <w:p w14:paraId="7D825D80" w14:textId="59555AD5" w:rsidR="00686A12" w:rsidRDefault="00686A12">
        <w:pPr>
          <w:pStyle w:val="Footer"/>
          <w:jc w:val="right"/>
        </w:pPr>
        <w:r>
          <w:fldChar w:fldCharType="begin"/>
        </w:r>
        <w:r>
          <w:instrText xml:space="preserve"> PAGE   \* MERGEFORMAT </w:instrText>
        </w:r>
        <w:r>
          <w:fldChar w:fldCharType="separate"/>
        </w:r>
        <w:r w:rsidR="006F26B2">
          <w:rPr>
            <w:noProof/>
          </w:rPr>
          <w:t>4</w:t>
        </w:r>
        <w:r>
          <w:rPr>
            <w:noProof/>
          </w:rPr>
          <w:fldChar w:fldCharType="end"/>
        </w:r>
      </w:p>
    </w:sdtContent>
  </w:sdt>
  <w:p w14:paraId="0D4A01BF" w14:textId="77777777" w:rsidR="00686A12" w:rsidRDefault="00686A1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401171" w14:textId="77777777" w:rsidR="00C27BB1" w:rsidRDefault="00C27BB1" w:rsidP="00A95FA0">
      <w:r>
        <w:separator/>
      </w:r>
    </w:p>
  </w:footnote>
  <w:footnote w:type="continuationSeparator" w:id="0">
    <w:p w14:paraId="6160B8FD" w14:textId="77777777" w:rsidR="00C27BB1" w:rsidRDefault="00C27BB1" w:rsidP="00A95FA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839C7"/>
    <w:multiLevelType w:val="multilevel"/>
    <w:tmpl w:val="7FFA2F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E3F3195"/>
    <w:multiLevelType w:val="hybridMultilevel"/>
    <w:tmpl w:val="E96689D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15:restartNumberingAfterBreak="0">
    <w:nsid w:val="1A7F3067"/>
    <w:multiLevelType w:val="hybridMultilevel"/>
    <w:tmpl w:val="654207A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 w15:restartNumberingAfterBreak="0">
    <w:nsid w:val="711F129C"/>
    <w:multiLevelType w:val="multilevel"/>
    <w:tmpl w:val="278A2F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368"/>
    <w:rsid w:val="00055182"/>
    <w:rsid w:val="000A6270"/>
    <w:rsid w:val="001110A7"/>
    <w:rsid w:val="0019746E"/>
    <w:rsid w:val="0021407F"/>
    <w:rsid w:val="00257399"/>
    <w:rsid w:val="00274ADC"/>
    <w:rsid w:val="00313306"/>
    <w:rsid w:val="003227ED"/>
    <w:rsid w:val="00351392"/>
    <w:rsid w:val="003A6B64"/>
    <w:rsid w:val="003F254E"/>
    <w:rsid w:val="00423E43"/>
    <w:rsid w:val="00434DB6"/>
    <w:rsid w:val="00463A63"/>
    <w:rsid w:val="00485374"/>
    <w:rsid w:val="00487368"/>
    <w:rsid w:val="004D4007"/>
    <w:rsid w:val="004E37EC"/>
    <w:rsid w:val="005812CC"/>
    <w:rsid w:val="005B10D4"/>
    <w:rsid w:val="005B4344"/>
    <w:rsid w:val="0060050D"/>
    <w:rsid w:val="00616D31"/>
    <w:rsid w:val="00686A12"/>
    <w:rsid w:val="006F26B2"/>
    <w:rsid w:val="00701AD9"/>
    <w:rsid w:val="00706885"/>
    <w:rsid w:val="00713078"/>
    <w:rsid w:val="00715237"/>
    <w:rsid w:val="00730092"/>
    <w:rsid w:val="00776E40"/>
    <w:rsid w:val="008B717A"/>
    <w:rsid w:val="008D290F"/>
    <w:rsid w:val="008F6F4E"/>
    <w:rsid w:val="009A5822"/>
    <w:rsid w:val="009B6CE1"/>
    <w:rsid w:val="00A55A11"/>
    <w:rsid w:val="00A72D85"/>
    <w:rsid w:val="00A95FA0"/>
    <w:rsid w:val="00AB6512"/>
    <w:rsid w:val="00AF65B2"/>
    <w:rsid w:val="00B25E46"/>
    <w:rsid w:val="00B801C5"/>
    <w:rsid w:val="00C03784"/>
    <w:rsid w:val="00C176A4"/>
    <w:rsid w:val="00C27BB1"/>
    <w:rsid w:val="00C84409"/>
    <w:rsid w:val="00D1568D"/>
    <w:rsid w:val="00D36A6C"/>
    <w:rsid w:val="00D46F12"/>
    <w:rsid w:val="00E00812"/>
    <w:rsid w:val="00E9632A"/>
    <w:rsid w:val="00F451A0"/>
    <w:rsid w:val="00F56A62"/>
    <w:rsid w:val="00FC1F52"/>
    <w:rsid w:val="00FC5D92"/>
    <w:rsid w:val="00FC7AB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30691F"/>
  <w15:chartTrackingRefBased/>
  <w15:docId w15:val="{8497CE5D-263C-406C-9AB4-90A54067B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736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873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36A6C"/>
    <w:pPr>
      <w:autoSpaceDE w:val="0"/>
      <w:autoSpaceDN w:val="0"/>
      <w:adjustRightInd w:val="0"/>
    </w:pPr>
    <w:rPr>
      <w:color w:val="000000"/>
      <w:sz w:val="24"/>
      <w:szCs w:val="24"/>
    </w:rPr>
  </w:style>
  <w:style w:type="paragraph" w:customStyle="1" w:styleId="Standard">
    <w:name w:val="Standard"/>
    <w:rsid w:val="008F6F4E"/>
    <w:pPr>
      <w:suppressAutoHyphens/>
      <w:autoSpaceDN w:val="0"/>
    </w:pPr>
    <w:rPr>
      <w:sz w:val="24"/>
      <w:szCs w:val="24"/>
    </w:rPr>
  </w:style>
  <w:style w:type="paragraph" w:styleId="Header">
    <w:name w:val="header"/>
    <w:basedOn w:val="Normal"/>
    <w:link w:val="HeaderChar"/>
    <w:rsid w:val="00A95FA0"/>
    <w:pPr>
      <w:tabs>
        <w:tab w:val="center" w:pos="4536"/>
        <w:tab w:val="right" w:pos="9072"/>
      </w:tabs>
    </w:pPr>
  </w:style>
  <w:style w:type="character" w:customStyle="1" w:styleId="HeaderChar">
    <w:name w:val="Header Char"/>
    <w:basedOn w:val="DefaultParagraphFont"/>
    <w:link w:val="Header"/>
    <w:rsid w:val="00A95FA0"/>
    <w:rPr>
      <w:sz w:val="24"/>
      <w:szCs w:val="24"/>
    </w:rPr>
  </w:style>
  <w:style w:type="paragraph" w:styleId="Footer">
    <w:name w:val="footer"/>
    <w:basedOn w:val="Normal"/>
    <w:link w:val="FooterChar"/>
    <w:uiPriority w:val="99"/>
    <w:rsid w:val="00A95FA0"/>
    <w:pPr>
      <w:tabs>
        <w:tab w:val="center" w:pos="4536"/>
        <w:tab w:val="right" w:pos="9072"/>
      </w:tabs>
    </w:pPr>
  </w:style>
  <w:style w:type="character" w:customStyle="1" w:styleId="FooterChar">
    <w:name w:val="Footer Char"/>
    <w:basedOn w:val="DefaultParagraphFont"/>
    <w:link w:val="Footer"/>
    <w:uiPriority w:val="99"/>
    <w:rsid w:val="00A95FA0"/>
    <w:rPr>
      <w:sz w:val="24"/>
      <w:szCs w:val="24"/>
    </w:rPr>
  </w:style>
  <w:style w:type="paragraph" w:styleId="BalloonText">
    <w:name w:val="Balloon Text"/>
    <w:basedOn w:val="Normal"/>
    <w:link w:val="BalloonTextChar"/>
    <w:rsid w:val="00A95FA0"/>
    <w:rPr>
      <w:rFonts w:ascii="Segoe UI" w:hAnsi="Segoe UI" w:cs="Segoe UI"/>
      <w:sz w:val="18"/>
      <w:szCs w:val="18"/>
    </w:rPr>
  </w:style>
  <w:style w:type="character" w:customStyle="1" w:styleId="BalloonTextChar">
    <w:name w:val="Balloon Text Char"/>
    <w:basedOn w:val="DefaultParagraphFont"/>
    <w:link w:val="BalloonText"/>
    <w:rsid w:val="00A95FA0"/>
    <w:rPr>
      <w:rFonts w:ascii="Segoe UI" w:hAnsi="Segoe UI" w:cs="Segoe UI"/>
      <w:sz w:val="18"/>
      <w:szCs w:val="18"/>
    </w:rPr>
  </w:style>
  <w:style w:type="paragraph" w:styleId="NormalWeb">
    <w:name w:val="Normal (Web)"/>
    <w:basedOn w:val="Normal"/>
    <w:uiPriority w:val="99"/>
    <w:unhideWhenUsed/>
    <w:rsid w:val="00F451A0"/>
    <w:pPr>
      <w:spacing w:before="100" w:beforeAutospacing="1" w:after="100" w:afterAutospacing="1"/>
    </w:pPr>
    <w:rPr>
      <w:lang w:val="en-US" w:eastAsia="en-US"/>
    </w:rPr>
  </w:style>
  <w:style w:type="character" w:styleId="Hyperlink">
    <w:name w:val="Hyperlink"/>
    <w:basedOn w:val="DefaultParagraphFont"/>
    <w:unhideWhenUsed/>
    <w:rsid w:val="00686A12"/>
    <w:rPr>
      <w:color w:val="0563C1" w:themeColor="hyperlink"/>
      <w:u w:val="single"/>
    </w:rPr>
  </w:style>
  <w:style w:type="paragraph" w:styleId="ListParagraph">
    <w:name w:val="List Paragraph"/>
    <w:basedOn w:val="Normal"/>
    <w:uiPriority w:val="34"/>
    <w:qFormat/>
    <w:rsid w:val="00686A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39115">
      <w:bodyDiv w:val="1"/>
      <w:marLeft w:val="0"/>
      <w:marRight w:val="0"/>
      <w:marTop w:val="0"/>
      <w:marBottom w:val="0"/>
      <w:divBdr>
        <w:top w:val="none" w:sz="0" w:space="0" w:color="auto"/>
        <w:left w:val="none" w:sz="0" w:space="0" w:color="auto"/>
        <w:bottom w:val="none" w:sz="0" w:space="0" w:color="auto"/>
        <w:right w:val="none" w:sz="0" w:space="0" w:color="auto"/>
      </w:divBdr>
    </w:div>
    <w:div w:id="25110143">
      <w:bodyDiv w:val="1"/>
      <w:marLeft w:val="0"/>
      <w:marRight w:val="0"/>
      <w:marTop w:val="0"/>
      <w:marBottom w:val="0"/>
      <w:divBdr>
        <w:top w:val="none" w:sz="0" w:space="0" w:color="auto"/>
        <w:left w:val="none" w:sz="0" w:space="0" w:color="auto"/>
        <w:bottom w:val="none" w:sz="0" w:space="0" w:color="auto"/>
        <w:right w:val="none" w:sz="0" w:space="0" w:color="auto"/>
      </w:divBdr>
    </w:div>
    <w:div w:id="235478020">
      <w:bodyDiv w:val="1"/>
      <w:marLeft w:val="0"/>
      <w:marRight w:val="0"/>
      <w:marTop w:val="0"/>
      <w:marBottom w:val="0"/>
      <w:divBdr>
        <w:top w:val="none" w:sz="0" w:space="0" w:color="auto"/>
        <w:left w:val="none" w:sz="0" w:space="0" w:color="auto"/>
        <w:bottom w:val="none" w:sz="0" w:space="0" w:color="auto"/>
        <w:right w:val="none" w:sz="0" w:space="0" w:color="auto"/>
      </w:divBdr>
    </w:div>
    <w:div w:id="816648953">
      <w:bodyDiv w:val="1"/>
      <w:marLeft w:val="0"/>
      <w:marRight w:val="0"/>
      <w:marTop w:val="0"/>
      <w:marBottom w:val="0"/>
      <w:divBdr>
        <w:top w:val="none" w:sz="0" w:space="0" w:color="auto"/>
        <w:left w:val="none" w:sz="0" w:space="0" w:color="auto"/>
        <w:bottom w:val="none" w:sz="0" w:space="0" w:color="auto"/>
        <w:right w:val="none" w:sz="0" w:space="0" w:color="auto"/>
      </w:divBdr>
    </w:div>
    <w:div w:id="1045905204">
      <w:bodyDiv w:val="1"/>
      <w:marLeft w:val="0"/>
      <w:marRight w:val="0"/>
      <w:marTop w:val="0"/>
      <w:marBottom w:val="0"/>
      <w:divBdr>
        <w:top w:val="none" w:sz="0" w:space="0" w:color="auto"/>
        <w:left w:val="none" w:sz="0" w:space="0" w:color="auto"/>
        <w:bottom w:val="none" w:sz="0" w:space="0" w:color="auto"/>
        <w:right w:val="none" w:sz="0" w:space="0" w:color="auto"/>
      </w:divBdr>
    </w:div>
    <w:div w:id="1147631167">
      <w:bodyDiv w:val="1"/>
      <w:marLeft w:val="0"/>
      <w:marRight w:val="0"/>
      <w:marTop w:val="0"/>
      <w:marBottom w:val="0"/>
      <w:divBdr>
        <w:top w:val="none" w:sz="0" w:space="0" w:color="auto"/>
        <w:left w:val="none" w:sz="0" w:space="0" w:color="auto"/>
        <w:bottom w:val="none" w:sz="0" w:space="0" w:color="auto"/>
        <w:right w:val="none" w:sz="0" w:space="0" w:color="auto"/>
      </w:divBdr>
    </w:div>
    <w:div w:id="1182400564">
      <w:bodyDiv w:val="1"/>
      <w:marLeft w:val="0"/>
      <w:marRight w:val="0"/>
      <w:marTop w:val="0"/>
      <w:marBottom w:val="0"/>
      <w:divBdr>
        <w:top w:val="none" w:sz="0" w:space="0" w:color="auto"/>
        <w:left w:val="none" w:sz="0" w:space="0" w:color="auto"/>
        <w:bottom w:val="none" w:sz="0" w:space="0" w:color="auto"/>
        <w:right w:val="none" w:sz="0" w:space="0" w:color="auto"/>
      </w:divBdr>
    </w:div>
    <w:div w:id="1213613311">
      <w:bodyDiv w:val="1"/>
      <w:marLeft w:val="0"/>
      <w:marRight w:val="0"/>
      <w:marTop w:val="0"/>
      <w:marBottom w:val="0"/>
      <w:divBdr>
        <w:top w:val="none" w:sz="0" w:space="0" w:color="auto"/>
        <w:left w:val="none" w:sz="0" w:space="0" w:color="auto"/>
        <w:bottom w:val="none" w:sz="0" w:space="0" w:color="auto"/>
        <w:right w:val="none" w:sz="0" w:space="0" w:color="auto"/>
      </w:divBdr>
    </w:div>
    <w:div w:id="1416317697">
      <w:bodyDiv w:val="1"/>
      <w:marLeft w:val="0"/>
      <w:marRight w:val="0"/>
      <w:marTop w:val="0"/>
      <w:marBottom w:val="0"/>
      <w:divBdr>
        <w:top w:val="none" w:sz="0" w:space="0" w:color="auto"/>
        <w:left w:val="none" w:sz="0" w:space="0" w:color="auto"/>
        <w:bottom w:val="none" w:sz="0" w:space="0" w:color="auto"/>
        <w:right w:val="none" w:sz="0" w:space="0" w:color="auto"/>
      </w:divBdr>
    </w:div>
    <w:div w:id="1427926422">
      <w:bodyDiv w:val="1"/>
      <w:marLeft w:val="0"/>
      <w:marRight w:val="0"/>
      <w:marTop w:val="0"/>
      <w:marBottom w:val="0"/>
      <w:divBdr>
        <w:top w:val="none" w:sz="0" w:space="0" w:color="auto"/>
        <w:left w:val="none" w:sz="0" w:space="0" w:color="auto"/>
        <w:bottom w:val="none" w:sz="0" w:space="0" w:color="auto"/>
        <w:right w:val="none" w:sz="0" w:space="0" w:color="auto"/>
      </w:divBdr>
    </w:div>
    <w:div w:id="1502547995">
      <w:bodyDiv w:val="1"/>
      <w:marLeft w:val="0"/>
      <w:marRight w:val="0"/>
      <w:marTop w:val="0"/>
      <w:marBottom w:val="0"/>
      <w:divBdr>
        <w:top w:val="none" w:sz="0" w:space="0" w:color="auto"/>
        <w:left w:val="none" w:sz="0" w:space="0" w:color="auto"/>
        <w:bottom w:val="none" w:sz="0" w:space="0" w:color="auto"/>
        <w:right w:val="none" w:sz="0" w:space="0" w:color="auto"/>
      </w:divBdr>
    </w:div>
    <w:div w:id="1588152503">
      <w:bodyDiv w:val="1"/>
      <w:marLeft w:val="0"/>
      <w:marRight w:val="0"/>
      <w:marTop w:val="0"/>
      <w:marBottom w:val="0"/>
      <w:divBdr>
        <w:top w:val="none" w:sz="0" w:space="0" w:color="auto"/>
        <w:left w:val="none" w:sz="0" w:space="0" w:color="auto"/>
        <w:bottom w:val="none" w:sz="0" w:space="0" w:color="auto"/>
        <w:right w:val="none" w:sz="0" w:space="0" w:color="auto"/>
      </w:divBdr>
    </w:div>
    <w:div w:id="1653871351">
      <w:bodyDiv w:val="1"/>
      <w:marLeft w:val="0"/>
      <w:marRight w:val="0"/>
      <w:marTop w:val="0"/>
      <w:marBottom w:val="0"/>
      <w:divBdr>
        <w:top w:val="none" w:sz="0" w:space="0" w:color="auto"/>
        <w:left w:val="none" w:sz="0" w:space="0" w:color="auto"/>
        <w:bottom w:val="none" w:sz="0" w:space="0" w:color="auto"/>
        <w:right w:val="none" w:sz="0" w:space="0" w:color="auto"/>
      </w:divBdr>
    </w:div>
    <w:div w:id="1712028268">
      <w:bodyDiv w:val="1"/>
      <w:marLeft w:val="0"/>
      <w:marRight w:val="0"/>
      <w:marTop w:val="0"/>
      <w:marBottom w:val="0"/>
      <w:divBdr>
        <w:top w:val="none" w:sz="0" w:space="0" w:color="auto"/>
        <w:left w:val="none" w:sz="0" w:space="0" w:color="auto"/>
        <w:bottom w:val="none" w:sz="0" w:space="0" w:color="auto"/>
        <w:right w:val="none" w:sz="0" w:space="0" w:color="auto"/>
      </w:divBdr>
    </w:div>
    <w:div w:id="1714503291">
      <w:bodyDiv w:val="1"/>
      <w:marLeft w:val="0"/>
      <w:marRight w:val="0"/>
      <w:marTop w:val="0"/>
      <w:marBottom w:val="0"/>
      <w:divBdr>
        <w:top w:val="none" w:sz="0" w:space="0" w:color="auto"/>
        <w:left w:val="none" w:sz="0" w:space="0" w:color="auto"/>
        <w:bottom w:val="none" w:sz="0" w:space="0" w:color="auto"/>
        <w:right w:val="none" w:sz="0" w:space="0" w:color="auto"/>
      </w:divBdr>
    </w:div>
    <w:div w:id="1926838001">
      <w:bodyDiv w:val="1"/>
      <w:marLeft w:val="0"/>
      <w:marRight w:val="0"/>
      <w:marTop w:val="0"/>
      <w:marBottom w:val="0"/>
      <w:divBdr>
        <w:top w:val="none" w:sz="0" w:space="0" w:color="auto"/>
        <w:left w:val="none" w:sz="0" w:space="0" w:color="auto"/>
        <w:bottom w:val="none" w:sz="0" w:space="0" w:color="auto"/>
        <w:right w:val="none" w:sz="0" w:space="0" w:color="auto"/>
      </w:divBdr>
    </w:div>
    <w:div w:id="1957374052">
      <w:bodyDiv w:val="1"/>
      <w:marLeft w:val="0"/>
      <w:marRight w:val="0"/>
      <w:marTop w:val="0"/>
      <w:marBottom w:val="0"/>
      <w:divBdr>
        <w:top w:val="none" w:sz="0" w:space="0" w:color="auto"/>
        <w:left w:val="none" w:sz="0" w:space="0" w:color="auto"/>
        <w:bottom w:val="none" w:sz="0" w:space="0" w:color="auto"/>
        <w:right w:val="none" w:sz="0" w:space="0" w:color="auto"/>
      </w:divBdr>
    </w:div>
    <w:div w:id="2054502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80C507-4588-4DC6-A94E-AB5856224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1</Pages>
  <Words>882</Words>
  <Characters>5031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OBRAZAC</vt:lpstr>
    </vt:vector>
  </TitlesOfParts>
  <Company>Grad Zagreb</Company>
  <LinksUpToDate>false</LinksUpToDate>
  <CharactersWithSpaces>5902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dc:title>
  <dc:subject/>
  <dc:creator>azenko</dc:creator>
  <cp:keywords/>
  <cp:lastModifiedBy>Renata Škudar</cp:lastModifiedBy>
  <cp:revision>19</cp:revision>
  <cp:lastPrinted>2022-04-25T13:24:00Z</cp:lastPrinted>
  <dcterms:created xsi:type="dcterms:W3CDTF">2021-08-11T09:16:00Z</dcterms:created>
  <dcterms:modified xsi:type="dcterms:W3CDTF">2022-04-26T08:09:00Z</dcterms:modified>
</cp:coreProperties>
</file>